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1206" w14:textId="486CCE6A" w:rsidR="0047054E" w:rsidRPr="0047054E" w:rsidRDefault="0047054E" w:rsidP="0047054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PERJANJIAN ADANYA KERJASAMA SUPPLIER BARANG</w:t>
      </w:r>
      <w:r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br/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Nomor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: 05-SB/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Kerma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/V/2019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br/>
      </w:r>
    </w:p>
    <w:p w14:paraId="712B36D6" w14:textId="77777777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Pada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hari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Senin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6 Mei 2019 kami yang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21E39499" w14:textId="1F7545C1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  <w:t xml:space="preserve">: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Jelita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Dewi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Andari</w:t>
      </w:r>
      <w:proofErr w:type="spellEnd"/>
    </w:p>
    <w:p w14:paraId="32C877F1" w14:textId="7BFD0797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Jabatan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ab/>
        <w:t xml:space="preserve">: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Direktur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Utama PT. Daifuku Sejahtera</w:t>
      </w:r>
    </w:p>
    <w:p w14:paraId="4FAE2188" w14:textId="159F8413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Alamat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  <w:t xml:space="preserve">: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Jl.</w:t>
      </w:r>
      <w:proofErr w:type="gram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DR.Radjiman</w:t>
      </w:r>
      <w:proofErr w:type="spellEnd"/>
      <w:proofErr w:type="gram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700, Yogyakarta</w:t>
      </w:r>
    </w:p>
    <w:p w14:paraId="66493519" w14:textId="77777777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Pada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PT. Daifuku Sejahtera,</w:t>
      </w:r>
    </w:p>
    <w:p w14:paraId="2186DFFE" w14:textId="0BAFDB06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  <w:t xml:space="preserve">: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Galuh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Ratna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Juwita</w:t>
      </w:r>
      <w:proofErr w:type="spellEnd"/>
    </w:p>
    <w:p w14:paraId="4E4BD9EE" w14:textId="4F68F0DC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Jabatan</w:t>
      </w:r>
      <w:proofErr w:type="spellEnd"/>
      <w:r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  <w:t xml:space="preserve">: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Direktur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Utama CV.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Swasta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Mandiri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Berkarya</w:t>
      </w:r>
      <w:proofErr w:type="spellEnd"/>
    </w:p>
    <w:p w14:paraId="4EF46450" w14:textId="0A1C8CA6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Alamat</w:t>
      </w:r>
      <w:r>
        <w:rPr>
          <w:rFonts w:ascii="Arial" w:eastAsia="Times New Roman" w:hAnsi="Arial" w:cs="Arial"/>
          <w:sz w:val="24"/>
          <w:szCs w:val="24"/>
          <w:lang w:val="en-ID" w:eastAsia="en-ID"/>
        </w:rPr>
        <w:tab/>
        <w:t xml:space="preserve">: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Jl.KH.Gholib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400, Yogyakarta</w:t>
      </w:r>
    </w:p>
    <w:p w14:paraId="10B93DA3" w14:textId="77777777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Pada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nama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CV.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Swasta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Mandiri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Berkarya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2D7E5143" w14:textId="77777777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KEDUA BELAH PIHAK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menjalin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hal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supplier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yang mana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diatur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beberapa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ketentuan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62002FE9" w14:textId="77777777" w:rsidR="0047054E" w:rsidRPr="0047054E" w:rsidRDefault="0047054E" w:rsidP="0047054E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PIHAK PERTAMA yang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memproduksi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spare parts AC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menyediakan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suplai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KEDUA,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sesuai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permintaan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pesanan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KEDUA.</w:t>
      </w:r>
    </w:p>
    <w:p w14:paraId="3C3ADCCE" w14:textId="77777777" w:rsidR="0047054E" w:rsidRPr="0047054E" w:rsidRDefault="0047054E" w:rsidP="0047054E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PIHAK KEDUA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mempunyai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kewajiban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memasarkan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spare parts AC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harga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melebihi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sudah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ditentukan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PIHAK PERTAMA.</w:t>
      </w:r>
    </w:p>
    <w:p w14:paraId="3935988A" w14:textId="77777777" w:rsidR="0047054E" w:rsidRPr="0047054E" w:rsidRDefault="0047054E" w:rsidP="0047054E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PIHAK PERTAMA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harus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selalu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menjamin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ketersediaan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stok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demi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memenuhi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permintaan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konsumen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berasal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KEDUA.</w:t>
      </w:r>
    </w:p>
    <w:p w14:paraId="5829A778" w14:textId="77777777" w:rsidR="0047054E" w:rsidRPr="0047054E" w:rsidRDefault="0047054E" w:rsidP="0047054E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PIHAK PERTAMA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maupun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wajib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promosi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spare parts AC agar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lebih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dikenal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konsumen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10A8F6B" w14:textId="77777777" w:rsidR="0047054E" w:rsidRPr="0047054E" w:rsidRDefault="0047054E" w:rsidP="0047054E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PIHAK KEDUA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wajib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membayar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keseluruhan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tagihan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atas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spare parts AC yang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dipesan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paling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lambat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1 (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satu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bulan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sejak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barang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diterima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1D2CDA22" w14:textId="77777777" w:rsidR="0047054E" w:rsidRPr="0047054E" w:rsidRDefault="0047054E" w:rsidP="0047054E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Apabila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kelak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kemudian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hari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muncul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permasalahan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terkait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KEDUA BELAH PIHAK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menyelesaikannya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secara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musyawarah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kekeluargaan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Namun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jika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menemukan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solusi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atau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titik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temu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KEDUA BELAH PIHAK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membawa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permasalahan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Pengadilan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Negeri Surakarta.</w:t>
      </w:r>
    </w:p>
    <w:p w14:paraId="5CB91128" w14:textId="77777777" w:rsidR="0047054E" w:rsidRPr="0047054E" w:rsidRDefault="0047054E" w:rsidP="0047054E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Adapun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sejak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ditanda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tangani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KEDUA BELAH PIHAK dan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 (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dua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rangkap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kekuatan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hukum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sama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kemudian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disimpan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masing-masing.</w:t>
      </w:r>
    </w:p>
    <w:p w14:paraId="42D41E52" w14:textId="77777777" w:rsidR="0047054E" w:rsidRPr="0047054E" w:rsidRDefault="0047054E" w:rsidP="0047054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kesadaran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kondisi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sehat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MANAPUN.</w:t>
      </w:r>
    </w:p>
    <w:p w14:paraId="5E9C141E" w14:textId="77777777" w:rsidR="0047054E" w:rsidRPr="0047054E" w:rsidRDefault="0047054E" w:rsidP="0047054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47054E">
        <w:rPr>
          <w:rFonts w:ascii="Arial" w:eastAsia="Times New Roman" w:hAnsi="Arial" w:cs="Arial"/>
          <w:sz w:val="24"/>
          <w:szCs w:val="24"/>
          <w:lang w:val="en-ID" w:eastAsia="en-ID"/>
        </w:rPr>
        <w:t>Surakarta, 06 Mei 2019</w:t>
      </w:r>
    </w:p>
    <w:tbl>
      <w:tblPr>
        <w:tblW w:w="152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8002"/>
      </w:tblGrid>
      <w:tr w:rsidR="0047054E" w:rsidRPr="0047054E" w14:paraId="602E1021" w14:textId="77777777" w:rsidTr="0047054E">
        <w:trPr>
          <w:tblCellSpacing w:w="15" w:type="dxa"/>
        </w:trPr>
        <w:tc>
          <w:tcPr>
            <w:tcW w:w="7185" w:type="dxa"/>
            <w:vAlign w:val="center"/>
            <w:hideMark/>
          </w:tcPr>
          <w:p w14:paraId="24BCA50E" w14:textId="18CD4126" w:rsidR="0047054E" w:rsidRPr="0047054E" w:rsidRDefault="0047054E" w:rsidP="004705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Pihak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Pertama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  <w:tc>
          <w:tcPr>
            <w:tcW w:w="7957" w:type="dxa"/>
            <w:vAlign w:val="center"/>
            <w:hideMark/>
          </w:tcPr>
          <w:p w14:paraId="7414E1F9" w14:textId="15490B20" w:rsidR="0047054E" w:rsidRPr="0047054E" w:rsidRDefault="0047054E" w:rsidP="0047054E">
            <w:pPr>
              <w:spacing w:after="0"/>
              <w:ind w:left="-3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Pihak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Kedua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</w:tr>
      <w:tr w:rsidR="0047054E" w:rsidRPr="0047054E" w14:paraId="4CE0DE97" w14:textId="77777777" w:rsidTr="0047054E">
        <w:trPr>
          <w:tblCellSpacing w:w="15" w:type="dxa"/>
        </w:trPr>
        <w:tc>
          <w:tcPr>
            <w:tcW w:w="7185" w:type="dxa"/>
            <w:vAlign w:val="center"/>
            <w:hideMark/>
          </w:tcPr>
          <w:p w14:paraId="622DB9CC" w14:textId="77777777" w:rsidR="0047054E" w:rsidRPr="0047054E" w:rsidRDefault="0047054E" w:rsidP="004705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  <w:tc>
          <w:tcPr>
            <w:tcW w:w="7957" w:type="dxa"/>
            <w:vAlign w:val="center"/>
            <w:hideMark/>
          </w:tcPr>
          <w:p w14:paraId="0F3DB1F6" w14:textId="77777777" w:rsidR="0047054E" w:rsidRPr="0047054E" w:rsidRDefault="0047054E" w:rsidP="0047054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</w:pPr>
          </w:p>
        </w:tc>
      </w:tr>
      <w:tr w:rsidR="0047054E" w:rsidRPr="0047054E" w14:paraId="1DE572D9" w14:textId="77777777" w:rsidTr="0047054E">
        <w:trPr>
          <w:tblCellSpacing w:w="15" w:type="dxa"/>
        </w:trPr>
        <w:tc>
          <w:tcPr>
            <w:tcW w:w="7185" w:type="dxa"/>
            <w:vAlign w:val="center"/>
            <w:hideMark/>
          </w:tcPr>
          <w:p w14:paraId="69C837D8" w14:textId="77777777" w:rsidR="0047054E" w:rsidRPr="0047054E" w:rsidRDefault="0047054E" w:rsidP="004705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Jelita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Dewi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Andari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.</w:t>
            </w:r>
          </w:p>
        </w:tc>
        <w:tc>
          <w:tcPr>
            <w:tcW w:w="7957" w:type="dxa"/>
            <w:vAlign w:val="center"/>
            <w:hideMark/>
          </w:tcPr>
          <w:p w14:paraId="41135660" w14:textId="77777777" w:rsidR="0047054E" w:rsidRPr="0047054E" w:rsidRDefault="0047054E" w:rsidP="0047054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Galuh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Ratna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Juwita</w:t>
            </w:r>
            <w:proofErr w:type="spellEnd"/>
            <w:r w:rsidRPr="0047054E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.</w:t>
            </w:r>
          </w:p>
        </w:tc>
      </w:tr>
    </w:tbl>
    <w:p w14:paraId="5DC48002" w14:textId="77777777" w:rsidR="00300C9F" w:rsidRPr="0047054E" w:rsidRDefault="0047054E" w:rsidP="0047054E">
      <w:pPr>
        <w:rPr>
          <w:rFonts w:ascii="Arial" w:hAnsi="Arial" w:cs="Arial"/>
        </w:rPr>
      </w:pPr>
    </w:p>
    <w:sectPr w:rsidR="00300C9F" w:rsidRPr="0047054E" w:rsidSect="0047054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057"/>
    <w:multiLevelType w:val="multilevel"/>
    <w:tmpl w:val="2EEE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1B1B7A"/>
    <w:rsid w:val="003517AF"/>
    <w:rsid w:val="0047054E"/>
    <w:rsid w:val="004D5A42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47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2019-02-13T03:30:00Z</cp:lastPrinted>
  <dcterms:created xsi:type="dcterms:W3CDTF">2021-05-26T15:57:00Z</dcterms:created>
  <dcterms:modified xsi:type="dcterms:W3CDTF">2021-05-26T15:57:00Z</dcterms:modified>
</cp:coreProperties>
</file>